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675B" w14:textId="77777777" w:rsidR="00923AF0" w:rsidRDefault="00230227">
      <w:pPr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6"/>
          <w:szCs w:val="26"/>
        </w:rPr>
        <w:t xml:space="preserve">HL </w:t>
      </w:r>
      <w:proofErr w:type="spellStart"/>
      <w:r>
        <w:rPr>
          <w:b/>
          <w:sz w:val="26"/>
          <w:szCs w:val="26"/>
        </w:rPr>
        <w:t>Markscheme</w:t>
      </w:r>
      <w:proofErr w:type="spellEnd"/>
      <w:r>
        <w:rPr>
          <w:b/>
          <w:sz w:val="26"/>
          <w:szCs w:val="26"/>
        </w:rPr>
        <w:t xml:space="preserve"> (Analysis) – 6 marks</w:t>
      </w:r>
    </w:p>
    <w:p w14:paraId="31ACCBBA" w14:textId="77777777" w:rsidR="00923AF0" w:rsidRDefault="00230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Descriptive and inferential statistics are appropriately and accurately applied.</w:t>
      </w:r>
    </w:p>
    <w:p w14:paraId="4D107BD9" w14:textId="77777777" w:rsidR="00923AF0" w:rsidRDefault="00230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The graph is correctly presented and addresses the hypothesis.</w:t>
      </w:r>
    </w:p>
    <w:p w14:paraId="0C6C03E5" w14:textId="77777777" w:rsidR="00923AF0" w:rsidRDefault="00230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statistical findings are interpreted </w:t>
      </w:r>
      <w:proofErr w:type="gramStart"/>
      <w:r>
        <w:rPr>
          <w:sz w:val="22"/>
          <w:szCs w:val="22"/>
        </w:rPr>
        <w:t>with regard to</w:t>
      </w:r>
      <w:proofErr w:type="gramEnd"/>
      <w:r>
        <w:rPr>
          <w:sz w:val="22"/>
          <w:szCs w:val="22"/>
        </w:rPr>
        <w:t xml:space="preserve"> the data and linked to the hypothesis.</w:t>
      </w:r>
    </w:p>
    <w:p w14:paraId="26DE3213" w14:textId="77777777" w:rsidR="00923AF0" w:rsidRDefault="00923AF0"/>
    <w:tbl>
      <w:tblPr>
        <w:tblStyle w:val="a"/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0"/>
      </w:tblGrid>
      <w:tr w:rsidR="00923AF0" w14:paraId="1C783272" w14:textId="77777777">
        <w:tc>
          <w:tcPr>
            <w:tcW w:w="11250" w:type="dxa"/>
            <w:shd w:val="clear" w:color="auto" w:fill="D9D9D9"/>
          </w:tcPr>
          <w:p w14:paraId="3533BA20" w14:textId="77777777" w:rsidR="00923AF0" w:rsidRDefault="00230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the Results of Mann-Whitney U Test</w:t>
            </w:r>
          </w:p>
        </w:tc>
      </w:tr>
      <w:tr w:rsidR="00923AF0" w14:paraId="53121A20" w14:textId="77777777">
        <w:tc>
          <w:tcPr>
            <w:tcW w:w="11250" w:type="dxa"/>
          </w:tcPr>
          <w:p w14:paraId="4A340A91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Example:</w:t>
            </w:r>
            <w:r>
              <w:rPr>
                <w:sz w:val="22"/>
                <w:szCs w:val="22"/>
              </w:rPr>
              <w:t xml:space="preserve"> Likelihood of children of working mothers to use sex-role stereotypes.</w:t>
            </w:r>
          </w:p>
          <w:p w14:paraId="49863DA2" w14:textId="77777777" w:rsidR="00923AF0" w:rsidRDefault="00923AF0">
            <w:pPr>
              <w:rPr>
                <w:sz w:val="22"/>
                <w:szCs w:val="22"/>
              </w:rPr>
            </w:pPr>
          </w:p>
          <w:p w14:paraId="3DF74B57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Report:</w:t>
            </w:r>
            <w:r>
              <w:rPr>
                <w:sz w:val="22"/>
                <w:szCs w:val="22"/>
              </w:rPr>
              <w:t xml:space="preserve"> “The Mann-Whitney </w:t>
            </w:r>
            <w:r>
              <w:rPr>
                <w:sz w:val="22"/>
                <w:szCs w:val="22"/>
              </w:rPr>
              <w:t>U Test was chosen because it is the most appropriate non-parametric test for ordinal data in an independent measures design. The children’s stereotyping scores were in both groups were rank-ordered, and the sum of the ranks in each condition was totaled an</w:t>
            </w:r>
            <w:r>
              <w:rPr>
                <w:sz w:val="22"/>
                <w:szCs w:val="22"/>
              </w:rPr>
              <w:t>d use to calculate U values. The lower of these values was taken as a Mann-Whitney U value for N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>=7 and N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</w:t>
            </w:r>
            <w:proofErr w:type="gramStart"/>
            <w:r>
              <w:rPr>
                <w:sz w:val="22"/>
                <w:szCs w:val="22"/>
              </w:rPr>
              <w:t>9, and</w:t>
            </w:r>
            <w:proofErr w:type="gramEnd"/>
            <w:r>
              <w:rPr>
                <w:sz w:val="22"/>
                <w:szCs w:val="22"/>
              </w:rPr>
              <w:t xml:space="preserve"> compared to the table critical value (6) for a one-tailed test at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&lt;0.05.  The results indicated lower stereotyping scores for the children of</w:t>
            </w:r>
            <w:r>
              <w:rPr>
                <w:sz w:val="22"/>
                <w:szCs w:val="22"/>
              </w:rPr>
              <w:t xml:space="preserve"> full-time employed mothers than for the other children.  This difference was significant, U=11.5,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&lt;0.05, with U values of 51.5 for the employed mother group and 11.5 for the non-employed mother group. </w:t>
            </w:r>
            <w:proofErr w:type="gramStart"/>
            <w:r>
              <w:rPr>
                <w:sz w:val="22"/>
                <w:szCs w:val="22"/>
              </w:rPr>
              <w:t>Therefore</w:t>
            </w:r>
            <w:proofErr w:type="gramEnd"/>
            <w:r>
              <w:rPr>
                <w:sz w:val="22"/>
                <w:szCs w:val="22"/>
              </w:rPr>
              <w:t xml:space="preserve"> the null hypothesis is rejected.”</w:t>
            </w:r>
          </w:p>
        </w:tc>
      </w:tr>
    </w:tbl>
    <w:p w14:paraId="78812F70" w14:textId="77777777" w:rsidR="00923AF0" w:rsidRDefault="00923AF0"/>
    <w:tbl>
      <w:tblPr>
        <w:tblStyle w:val="a0"/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0"/>
      </w:tblGrid>
      <w:tr w:rsidR="00923AF0" w14:paraId="6E503178" w14:textId="77777777">
        <w:tc>
          <w:tcPr>
            <w:tcW w:w="11250" w:type="dxa"/>
            <w:shd w:val="clear" w:color="auto" w:fill="D9D9D9"/>
          </w:tcPr>
          <w:p w14:paraId="0F05D885" w14:textId="77777777" w:rsidR="00923AF0" w:rsidRDefault="00230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the Chi-Squared Test</w:t>
            </w:r>
          </w:p>
        </w:tc>
      </w:tr>
      <w:tr w:rsidR="00923AF0" w14:paraId="1C10B6D1" w14:textId="77777777">
        <w:tc>
          <w:tcPr>
            <w:tcW w:w="11250" w:type="dxa"/>
          </w:tcPr>
          <w:p w14:paraId="1586A98E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Example:</w:t>
            </w:r>
            <w:r>
              <w:rPr>
                <w:sz w:val="22"/>
                <w:szCs w:val="22"/>
              </w:rPr>
              <w:t xml:space="preserve"> Relationship between car age and stopping for an amber light.</w:t>
            </w:r>
          </w:p>
          <w:p w14:paraId="6A2361DC" w14:textId="77777777" w:rsidR="00923AF0" w:rsidRDefault="00923AF0">
            <w:pPr>
              <w:rPr>
                <w:sz w:val="22"/>
                <w:szCs w:val="22"/>
              </w:rPr>
            </w:pPr>
          </w:p>
          <w:p w14:paraId="6A6E1461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Report:</w:t>
            </w:r>
            <w:r>
              <w:rPr>
                <w:sz w:val="22"/>
                <w:szCs w:val="22"/>
              </w:rPr>
              <w:t xml:space="preserve"> “The Chi-Squared Test was chosen because it is the most appropriate non-parametric test for an independent measures design with nominal d</w:t>
            </w:r>
            <w:r>
              <w:rPr>
                <w:sz w:val="22"/>
                <w:szCs w:val="22"/>
              </w:rPr>
              <w:t>ata. 50.3% of drivers in old cars (89/177) failed to stop at an amber traffic light, whereas only 38.4% of drivers in new cars (56/146) failed to stop.  A x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analysis of the difference between stop/didn’t stop frequencies across drivers of new and old cars</w:t>
            </w:r>
            <w:r>
              <w:rPr>
                <w:sz w:val="22"/>
                <w:szCs w:val="22"/>
              </w:rPr>
              <w:t xml:space="preserve"> was compared to the table critical value (2.71) for a one-tailed test at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&lt;0.05 and found to be significant, x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(df=1, N=323) = 4.6,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&lt;0.05. </w:t>
            </w:r>
            <w:proofErr w:type="gramStart"/>
            <w:r>
              <w:rPr>
                <w:sz w:val="22"/>
                <w:szCs w:val="22"/>
              </w:rPr>
              <w:t>Therefore</w:t>
            </w:r>
            <w:proofErr w:type="gramEnd"/>
            <w:r>
              <w:rPr>
                <w:sz w:val="22"/>
                <w:szCs w:val="22"/>
              </w:rPr>
              <w:t xml:space="preserve"> the null hypothesis is rejected.”</w:t>
            </w:r>
          </w:p>
        </w:tc>
      </w:tr>
    </w:tbl>
    <w:p w14:paraId="484220C7" w14:textId="77777777" w:rsidR="00923AF0" w:rsidRDefault="00923AF0"/>
    <w:tbl>
      <w:tblPr>
        <w:tblStyle w:val="a1"/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0"/>
      </w:tblGrid>
      <w:tr w:rsidR="00923AF0" w14:paraId="3F1DE992" w14:textId="77777777">
        <w:tc>
          <w:tcPr>
            <w:tcW w:w="11250" w:type="dxa"/>
            <w:shd w:val="clear" w:color="auto" w:fill="D9D9D9"/>
          </w:tcPr>
          <w:p w14:paraId="2BF05C9E" w14:textId="77777777" w:rsidR="00923AF0" w:rsidRDefault="00230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the Results of Wilcoxon Signed Ranks</w:t>
            </w:r>
          </w:p>
        </w:tc>
      </w:tr>
      <w:tr w:rsidR="00923AF0" w14:paraId="1BB8E7E7" w14:textId="77777777">
        <w:tc>
          <w:tcPr>
            <w:tcW w:w="11250" w:type="dxa"/>
          </w:tcPr>
          <w:p w14:paraId="79966D83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Example:</w:t>
            </w:r>
            <w:r>
              <w:rPr>
                <w:sz w:val="22"/>
                <w:szCs w:val="22"/>
              </w:rPr>
              <w:t xml:space="preserve"> Level of student preference for the assignment-based teaching method.</w:t>
            </w:r>
          </w:p>
          <w:p w14:paraId="1AF434E0" w14:textId="77777777" w:rsidR="00923AF0" w:rsidRDefault="00923AF0">
            <w:pPr>
              <w:rPr>
                <w:sz w:val="22"/>
                <w:szCs w:val="22"/>
              </w:rPr>
            </w:pPr>
          </w:p>
          <w:p w14:paraId="259D39A3" w14:textId="77777777" w:rsidR="00923AF0" w:rsidRDefault="002302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Report:</w:t>
            </w:r>
            <w:r>
              <w:rPr>
                <w:sz w:val="22"/>
                <w:szCs w:val="22"/>
              </w:rPr>
              <w:t xml:space="preserve"> “The Wilcoxon Signed Ranks Test was chosen because it is the most appropriate non-parametric test for ordinal dat</w:t>
            </w:r>
            <w:r>
              <w:rPr>
                <w:sz w:val="22"/>
                <w:szCs w:val="22"/>
              </w:rPr>
              <w:t xml:space="preserve">a in a repeated measures design. One student showed no preference for either method </w:t>
            </w: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this result was discarded from the analysis.  The remaining 14 students were rank ordered by the size of their preference for one teaching form over the other.  A Wilco</w:t>
            </w:r>
            <w:r>
              <w:rPr>
                <w:sz w:val="22"/>
                <w:szCs w:val="22"/>
              </w:rPr>
              <w:t xml:space="preserve">xon 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was used to evaluate these </w:t>
            </w:r>
            <w:proofErr w:type="gramStart"/>
            <w:r>
              <w:rPr>
                <w:sz w:val="22"/>
                <w:szCs w:val="22"/>
              </w:rPr>
              <w:t>differences, and</w:t>
            </w:r>
            <w:proofErr w:type="gramEnd"/>
            <w:r>
              <w:rPr>
                <w:sz w:val="22"/>
                <w:szCs w:val="22"/>
              </w:rPr>
              <w:t xml:space="preserve"> compared with the table critical value (30) for a one-tailed test at 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&lt;0.05, N=15.  A significant preference was shown for the assignment-based method, </w:t>
            </w:r>
            <w:r>
              <w:rPr>
                <w:i/>
                <w:sz w:val="22"/>
                <w:szCs w:val="22"/>
              </w:rPr>
              <w:t>T</w:t>
            </w:r>
            <w:sdt>
              <w:sdtPr>
                <w:tag w:val="goog_rdk_0"/>
                <w:id w:val="1577399800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= 15, p ≤ .05; the total of the ranks where students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were in favor of the assignment-based method was 90 and the total for the traditional method was 15. </w:t>
                </w:r>
                <w:proofErr w:type="gramStart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Therefore</w:t>
                </w:r>
                <w:proofErr w:type="gramEnd"/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the null hypothesis is rejected.”</w:t>
                </w:r>
              </w:sdtContent>
            </w:sdt>
          </w:p>
        </w:tc>
      </w:tr>
    </w:tbl>
    <w:p w14:paraId="1FA5398C" w14:textId="77777777" w:rsidR="00923AF0" w:rsidRDefault="00923AF0"/>
    <w:sectPr w:rsidR="00923AF0">
      <w:headerReference w:type="default" r:id="rId8"/>
      <w:pgSz w:w="12240" w:h="15840"/>
      <w:pgMar w:top="576" w:right="576" w:bottom="576" w:left="576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6C6E" w14:textId="77777777" w:rsidR="00230227" w:rsidRDefault="00230227">
      <w:pPr>
        <w:spacing w:after="0" w:line="240" w:lineRule="auto"/>
      </w:pPr>
      <w:r>
        <w:separator/>
      </w:r>
    </w:p>
  </w:endnote>
  <w:endnote w:type="continuationSeparator" w:id="0">
    <w:p w14:paraId="60365102" w14:textId="77777777" w:rsidR="00230227" w:rsidRDefault="0023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5454" w14:textId="77777777" w:rsidR="00230227" w:rsidRDefault="00230227">
      <w:pPr>
        <w:spacing w:after="0" w:line="240" w:lineRule="auto"/>
      </w:pPr>
      <w:r>
        <w:separator/>
      </w:r>
    </w:p>
  </w:footnote>
  <w:footnote w:type="continuationSeparator" w:id="0">
    <w:p w14:paraId="0D42B456" w14:textId="77777777" w:rsidR="00230227" w:rsidRDefault="0023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D9D1" w14:textId="77777777" w:rsidR="00923AF0" w:rsidRDefault="0023022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How to Report Inferential Statistics</w:t>
    </w:r>
  </w:p>
  <w:p w14:paraId="7062093B" w14:textId="77777777" w:rsidR="00923AF0" w:rsidRDefault="00923A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1430"/>
    <w:multiLevelType w:val="multilevel"/>
    <w:tmpl w:val="368AB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F0"/>
    <w:rsid w:val="00230227"/>
    <w:rsid w:val="00923AF0"/>
    <w:rsid w:val="00B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52D"/>
  <w15:docId w15:val="{80F0A57C-2731-4433-B17D-A3F9280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7E"/>
  </w:style>
  <w:style w:type="paragraph" w:styleId="Footer">
    <w:name w:val="footer"/>
    <w:basedOn w:val="Normal"/>
    <w:link w:val="FooterChar"/>
    <w:uiPriority w:val="99"/>
    <w:unhideWhenUsed/>
    <w:rsid w:val="0001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7E"/>
  </w:style>
  <w:style w:type="paragraph" w:styleId="BalloonText">
    <w:name w:val="Balloon Text"/>
    <w:basedOn w:val="Normal"/>
    <w:link w:val="BalloonTextChar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B13"/>
    <w:pPr>
      <w:ind w:left="720"/>
      <w:contextualSpacing/>
    </w:pPr>
  </w:style>
  <w:style w:type="paragraph" w:styleId="NoSpacing">
    <w:name w:val="No Spacing"/>
    <w:uiPriority w:val="1"/>
    <w:qFormat/>
    <w:rsid w:val="003F4A91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mah6wuO6oUkuTg/NedFlk9Nhw==">AMUW2mVFScbX/hdz1wg04hM4mwBILteQiPfqPlNastyzjH3qf/tgrXX5pNcENbyNaQjXihcngaSIaXrnfdkuo5Fl5IpmG7ksyNMuMK66J3+5rWLsufJaXqJ4g6i2ZkQvslSf7poOBb270jpZX/ag0uROTFpbqgNALQ==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Christopher Ciambarella</cp:lastModifiedBy>
  <cp:revision>2</cp:revision>
  <dcterms:created xsi:type="dcterms:W3CDTF">2023-02-02T08:05:00Z</dcterms:created>
  <dcterms:modified xsi:type="dcterms:W3CDTF">2023-02-02T08:05:00Z</dcterms:modified>
</cp:coreProperties>
</file>